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7DE" w14:textId="77777777" w:rsidR="00D66EC9" w:rsidRPr="00090CF2" w:rsidRDefault="00090CF2">
      <w:pPr>
        <w:pStyle w:val="a3"/>
        <w:widowControl/>
        <w:shd w:val="clear" w:color="auto" w:fill="FFFFFF"/>
        <w:spacing w:before="160" w:after="160"/>
        <w:rPr>
          <w:rFonts w:ascii="Times New Roman" w:eastAsia="Segoe UI" w:hAnsi="Times New Roman" w:cs="Times New Roman"/>
          <w:color w:val="0F1115"/>
          <w:sz w:val="22"/>
          <w:szCs w:val="22"/>
        </w:rPr>
      </w:pP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Supplementary Table </w:t>
      </w:r>
      <w:r w:rsidRPr="00090CF2">
        <w:rPr>
          <w:rFonts w:ascii="Times New Roman" w:eastAsia="宋体" w:hAnsi="Times New Roman" w:cs="Times New Roman"/>
          <w:color w:val="0F1115"/>
          <w:sz w:val="22"/>
          <w:szCs w:val="22"/>
          <w:shd w:val="clear" w:color="auto" w:fill="FFFFFF"/>
        </w:rPr>
        <w:t>1</w:t>
      </w: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. Neurophysiological parameters and normal reference ranges in healthy controls (n=40)</w:t>
      </w:r>
    </w:p>
    <w:tbl>
      <w:tblPr>
        <w:tblW w:w="8463" w:type="dxa"/>
        <w:jc w:val="center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7"/>
        <w:gridCol w:w="2845"/>
        <w:gridCol w:w="2369"/>
        <w:gridCol w:w="742"/>
      </w:tblGrid>
      <w:tr w:rsidR="00D66EC9" w:rsidRPr="00090CF2" w14:paraId="70467872" w14:textId="77777777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3E17422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Parameter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541C546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Healthy controls (Mean ± SD)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EDAE5C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Normal reference range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55AB7E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Unit</w:t>
            </w:r>
          </w:p>
        </w:tc>
      </w:tr>
      <w:tr w:rsidR="00D66EC9" w:rsidRPr="00090CF2" w14:paraId="25DBC479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1CDF4056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Median nerve</w:t>
            </w:r>
          </w:p>
        </w:tc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ABB6DFF" w14:textId="77777777" w:rsidR="00D66EC9" w:rsidRPr="00090CF2" w:rsidRDefault="00D66EC9">
            <w:pPr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B6FD53C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322298EF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3C987F1F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53578B8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MCV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21B6185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53.0 ± 4.0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A621AE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45.0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0D4E21D7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14082182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7E95FF0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CMAP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9274E5A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11.0 ± 2.0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9CCD044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7.0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0646D21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mV</w:t>
            </w:r>
          </w:p>
        </w:tc>
      </w:tr>
      <w:tr w:rsidR="00D66EC9" w:rsidRPr="00090CF2" w14:paraId="22ECD3EB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1226799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SCV (digit III)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A2530DA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52.0 ± 3.5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D719816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45.0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610A5186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6311479F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0EAA5EC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SNAP (digit III)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8189991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15.0 ± 4.0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E9A160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7.0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07F1D0E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μV</w:t>
            </w:r>
            <w:proofErr w:type="spellEnd"/>
          </w:p>
        </w:tc>
      </w:tr>
      <w:tr w:rsidR="00D66EC9" w:rsidRPr="00090CF2" w14:paraId="59035FE7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461D3494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SCV (digit I)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9D90E4A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52.0 ± 3.5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792DD5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45.0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7ADE07DD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089612B0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644B2A0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SNAP (digit I)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78FB2DF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15.0 ± 4.0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B66F392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7.0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7A264017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μV</w:t>
            </w:r>
            <w:proofErr w:type="spellEnd"/>
          </w:p>
        </w:tc>
      </w:tr>
      <w:tr w:rsidR="00D66EC9" w:rsidRPr="00090CF2" w14:paraId="6446E2F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2AAD1DF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Ulnar nerve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0F7063F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82FC36F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56FE0C30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719E7E3D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6710DAD6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MCV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C9BF8B8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53.0 ± 4.0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CC48F7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45.0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03297A3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739B5105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4C124EF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CMAP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3430310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11.0 ± 2.0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CBCC91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7.0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1A5D7299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mV</w:t>
            </w:r>
          </w:p>
        </w:tc>
      </w:tr>
      <w:tr w:rsidR="00D66EC9" w:rsidRPr="00090CF2" w14:paraId="24E07F52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5E2115C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SCV (digit V)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B27C6C8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52.0 ± 3.5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C34E546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45.0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06CF3479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667F3D98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19085E0A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SNAP (digit V)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D7B7DB1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15.0 ± 4.0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541427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7.0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573613E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μV</w:t>
            </w:r>
            <w:proofErr w:type="spellEnd"/>
          </w:p>
        </w:tc>
      </w:tr>
      <w:tr w:rsidR="00D66EC9" w:rsidRPr="00090CF2" w14:paraId="5713CE92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21D0E4E7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Common peroneal nerve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3C5C2EB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396B351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62C19A1B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163CF09B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7A57B777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MCV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060F35C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52.0 ± 3.5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0BDE2B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45.0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27C63B1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66DE4DC6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6AA6E387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CMAP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77288C5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5.5 ± 1.25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CD62C6D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3.0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2BC43BDA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mV</w:t>
            </w:r>
          </w:p>
        </w:tc>
      </w:tr>
      <w:tr w:rsidR="00D66EC9" w:rsidRPr="00090CF2" w14:paraId="03F773DA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6C1F0768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Tibial nerve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111E9FB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68E3F96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602AD10C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06C4BFED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531B0EA2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MCV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20E0A23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45.0 ± 3.5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C1680C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38.0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5D825694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4B6BFA3D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3AA12C27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CMAP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DB47FB5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12.0 ± 4.5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6D13EFD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3.0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0A8ACE0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mV</w:t>
            </w:r>
          </w:p>
        </w:tc>
      </w:tr>
      <w:tr w:rsidR="00D66EC9" w:rsidRPr="00090CF2" w14:paraId="022B6546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543046E4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Superficial peroneal nerve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9B589EB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880D964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71959FC9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09678128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2ECA7A1D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SCV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B24AFE5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46.0 ± 3.5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B00833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39.0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5C41BC4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62843543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671401D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SNAP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FA5AB57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8.5 ± 1.75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0D0F98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5.0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7ABF00D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μV</w:t>
            </w:r>
            <w:proofErr w:type="spellEnd"/>
          </w:p>
        </w:tc>
      </w:tr>
      <w:tr w:rsidR="00D66EC9" w:rsidRPr="00090CF2" w14:paraId="0E8D87B3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79865A9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Sural nerve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E8BF72E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A2267FE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15497741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246C9C8D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7270139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SCV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5C7713E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46.0 ± 4.0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61DFFA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38.0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762B5328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0F1F94B1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22AAFB9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SNAP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2DFEB3E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18.0 ± 4.0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AE859D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10.0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1066243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μV</w:t>
            </w:r>
            <w:proofErr w:type="spellEnd"/>
          </w:p>
        </w:tc>
      </w:tr>
      <w:tr w:rsidR="00D66EC9" w:rsidRPr="00090CF2" w14:paraId="259F442E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3A12492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Medial plantar nerve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D149D21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15E77C9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2C637183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6F5C3751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3259DD1A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SCV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BD2BD95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48.0 ± 4.0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FC3CF94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40.0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6AA4ADB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3C7E6F99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29BE502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SNAP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5CC083E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5.5 ± 1.25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A787C9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3.0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2EB290F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μV</w:t>
            </w:r>
            <w:proofErr w:type="spellEnd"/>
          </w:p>
        </w:tc>
      </w:tr>
      <w:tr w:rsidR="00D66EC9" w:rsidRPr="00090CF2" w14:paraId="27E7BEA3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294EBA8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lastRenderedPageBreak/>
              <w:t>Lateral plantar nerve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92CE2F6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070A80A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4EC731B5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319A7E43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1147C2D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SCV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579B66C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46.0 ± 3.0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5ABBFD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40.0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3B9BDDF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m/s</w:t>
            </w:r>
          </w:p>
        </w:tc>
      </w:tr>
      <w:tr w:rsidR="00D66EC9" w:rsidRPr="00090CF2" w14:paraId="7A4217F2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73CE605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SNAP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8F07F62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3.5 ± 0.75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7E54F99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2.0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5D2617E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μV</w:t>
            </w:r>
            <w:proofErr w:type="spellEnd"/>
          </w:p>
        </w:tc>
      </w:tr>
      <w:tr w:rsidR="00D66EC9" w:rsidRPr="00090CF2" w14:paraId="341440F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41149036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Left H</w:t>
            </w: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noBreakHyphen/>
              <w:t>reflex latency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A41C524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28.5 ± 2.25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E488F2A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&lt; 33.0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0964D9B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ms</w:t>
            </w:r>
            <w:proofErr w:type="spellEnd"/>
          </w:p>
        </w:tc>
      </w:tr>
      <w:tr w:rsidR="00D66EC9" w:rsidRPr="00090CF2" w14:paraId="1A6351B1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21139222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Tibial SEP N9 wave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9021237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BF9D7DD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7D43752E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7B58F9E3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56F1B11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Latency (male)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2727AC3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10.5 ± 0.7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4B8706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&lt; 11.9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7FA8902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ms</w:t>
            </w:r>
            <w:proofErr w:type="spellEnd"/>
          </w:p>
        </w:tc>
      </w:tr>
      <w:tr w:rsidR="00D66EC9" w:rsidRPr="00090CF2" w14:paraId="49BE239D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56122708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Latency (female)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7C402C5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8.9 ± 0.6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30863A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&lt; 10.1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6EC037E7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ms</w:t>
            </w:r>
            <w:proofErr w:type="spellEnd"/>
          </w:p>
        </w:tc>
      </w:tr>
      <w:tr w:rsidR="00D66EC9" w:rsidRPr="00090CF2" w14:paraId="6495DC1F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68E57C0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Amplitude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FF4972C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1.02 ± 0.24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47C228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0.54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767C3E64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μV</w:t>
            </w:r>
            <w:proofErr w:type="spellEnd"/>
          </w:p>
        </w:tc>
      </w:tr>
      <w:tr w:rsidR="00D66EC9" w:rsidRPr="00090CF2" w14:paraId="10FB599E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3DD0015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SSR upper limb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DC9DCB3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2CAABAB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2A13476F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3040348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744779E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Latency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0367892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1.32 ± 0.095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797654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&lt; 1.51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46AB124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</w:t>
            </w:r>
          </w:p>
        </w:tc>
      </w:tr>
      <w:tr w:rsidR="00D66EC9" w:rsidRPr="00090CF2" w14:paraId="26836BFA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7419B37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Amplitude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EC71919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0.85 ± 0.175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654E64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0.50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51D876D4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mV</w:t>
            </w:r>
          </w:p>
        </w:tc>
      </w:tr>
      <w:tr w:rsidR="00D66EC9" w:rsidRPr="00090CF2" w14:paraId="0AD0E088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38CF4FB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SSR lower limb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A7770EF" w14:textId="77777777" w:rsidR="00D66EC9" w:rsidRPr="00090CF2" w:rsidRDefault="00D66EC9">
            <w:pPr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C5D44DB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4488120B" w14:textId="77777777" w:rsidR="00D66EC9" w:rsidRPr="00090CF2" w:rsidRDefault="00D66EC9">
            <w:pPr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6604E7BD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7E1DD03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Latency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7310854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2.02 ± 0.105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24EFAC8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&lt; 2.23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7CBF9986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</w:t>
            </w:r>
          </w:p>
        </w:tc>
      </w:tr>
      <w:tr w:rsidR="00D66EC9" w:rsidRPr="00090CF2" w14:paraId="56C802BC" w14:textId="77777777">
        <w:trPr>
          <w:jc w:val="center"/>
        </w:trPr>
        <w:tc>
          <w:tcPr>
            <w:tcW w:w="2507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79582078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Amplitude</w:t>
            </w:r>
          </w:p>
        </w:tc>
        <w:tc>
          <w:tcPr>
            <w:tcW w:w="2845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46ECA0D" w14:textId="77777777" w:rsidR="00D66EC9" w:rsidRPr="00090CF2" w:rsidRDefault="00090CF2">
            <w:pPr>
              <w:widowControl/>
              <w:snapToGrid w:val="0"/>
              <w:jc w:val="left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0.58 ± 0.11</w:t>
            </w:r>
          </w:p>
        </w:tc>
        <w:tc>
          <w:tcPr>
            <w:tcW w:w="2369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5DE9A02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&gt; 0.36</w:t>
            </w:r>
          </w:p>
        </w:tc>
        <w:tc>
          <w:tcPr>
            <w:tcW w:w="742" w:type="dxa"/>
            <w:tcBorders>
              <w:tl2br w:val="nil"/>
              <w:tr2bl w:val="nil"/>
            </w:tcBorders>
            <w:shd w:val="clear" w:color="auto" w:fill="auto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56F4A6F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mV</w:t>
            </w:r>
          </w:p>
        </w:tc>
      </w:tr>
    </w:tbl>
    <w:p w14:paraId="03C61826" w14:textId="77777777" w:rsidR="00D66EC9" w:rsidRPr="00090CF2" w:rsidRDefault="00D66EC9"/>
    <w:p w14:paraId="29D6876C" w14:textId="77777777" w:rsidR="00D66EC9" w:rsidRPr="00090CF2" w:rsidRDefault="00090CF2">
      <w:pPr>
        <w:pStyle w:val="a3"/>
        <w:widowControl/>
        <w:shd w:val="clear" w:color="auto" w:fill="FFFFFF"/>
        <w:adjustRightInd w:val="0"/>
        <w:snapToGrid w:val="0"/>
        <w:spacing w:line="360" w:lineRule="auto"/>
        <w:rPr>
          <w:rFonts w:ascii="Times New Roman" w:eastAsia="Segoe UI" w:hAnsi="Times New Roman" w:cs="Times New Roman"/>
          <w:color w:val="0F1115"/>
          <w:sz w:val="22"/>
          <w:szCs w:val="22"/>
        </w:rPr>
      </w:pPr>
      <w:r w:rsidRPr="00090CF2">
        <w:rPr>
          <w:rFonts w:ascii="Times New Roman" w:eastAsia="Segoe UI" w:hAnsi="Times New Roman" w:cs="Times New Roman" w:hint="eastAsia"/>
          <w:color w:val="0F1115"/>
          <w:sz w:val="22"/>
          <w:szCs w:val="22"/>
          <w:shd w:val="clear" w:color="auto" w:fill="FFFFFF"/>
        </w:rPr>
        <w:t>Supplementary Table 2</w:t>
      </w:r>
      <w:r w:rsidRPr="00090CF2">
        <w:rPr>
          <w:rStyle w:val="a5"/>
          <w:rFonts w:ascii="Times New Roman" w:eastAsia="Segoe UI" w:hAnsi="Times New Roman" w:cs="Times New Roman"/>
          <w:b w:val="0"/>
          <w:color w:val="0F1115"/>
          <w:sz w:val="22"/>
          <w:szCs w:val="22"/>
          <w:shd w:val="clear" w:color="auto" w:fill="FFFFFF"/>
        </w:rPr>
        <w:t>. Comparison of NCS, H-Reflex, SEP N9, and SSR in Enrolled Patients Before and After Chemotherapy</w:t>
      </w:r>
    </w:p>
    <w:tbl>
      <w:tblPr>
        <w:tblStyle w:val="a4"/>
        <w:tblW w:w="8669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1151"/>
        <w:gridCol w:w="2026"/>
        <w:gridCol w:w="2098"/>
        <w:gridCol w:w="984"/>
        <w:gridCol w:w="1075"/>
      </w:tblGrid>
      <w:tr w:rsidR="00D66EC9" w:rsidRPr="00090CF2" w14:paraId="6E63318D" w14:textId="77777777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615F6B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lastRenderedPageBreak/>
              <w:t>Variable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33A6214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Normal Reference Range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75731A8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Pre-Chemotherapy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718A87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Post-Chemotherapy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8048E9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Statistic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71DE0B4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P Value</w:t>
            </w:r>
          </w:p>
        </w:tc>
      </w:tr>
      <w:tr w:rsidR="00D66EC9" w:rsidRPr="00090CF2" w14:paraId="609CBA60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E70E62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Median Nerve, Median (IQR)</w:t>
            </w:r>
          </w:p>
        </w:tc>
        <w:tc>
          <w:tcPr>
            <w:tcW w:w="1151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B6B91" w14:textId="77777777" w:rsidR="00D66EC9" w:rsidRPr="00090CF2" w:rsidRDefault="00D66EC9">
            <w:pPr>
              <w:keepNext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E9A996F" w14:textId="77777777" w:rsidR="00D66EC9" w:rsidRPr="00090CF2" w:rsidRDefault="00D66EC9">
            <w:pPr>
              <w:keepNext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FCDF42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F0DE010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2598DAC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</w:tr>
      <w:tr w:rsidR="00D66EC9" w:rsidRPr="00090CF2" w14:paraId="66A178E7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7A6EC3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MCV (m/s)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59C1A13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&gt;45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451EE7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53.0 (50.0-57.0)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636AD11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52.5 (50.0-57.0)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A9A2AA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-1.689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0762714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0.091</w:t>
            </w:r>
          </w:p>
        </w:tc>
      </w:tr>
      <w:tr w:rsidR="00D66EC9" w:rsidRPr="00090CF2" w14:paraId="799B923C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BA81F4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CMAP (mV)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5BC45C6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&gt;7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718C59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11.8 (9.5-15.5)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C5FF45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12.4 (9.4-15.1)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82E5F76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-1.329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26111D3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0.184</w:t>
            </w:r>
          </w:p>
        </w:tc>
      </w:tr>
      <w:tr w:rsidR="00D66EC9" w:rsidRPr="00090CF2" w14:paraId="42699D2B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046094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SCV (m/s) - Digit III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79DE9778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&gt;45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B65DD03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50.0 (44.3-53.0)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DDCB733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48.0 (44.0-52.0)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76CE3C9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-2.019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076B821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0.043</w:t>
            </w:r>
          </w:p>
        </w:tc>
      </w:tr>
      <w:tr w:rsidR="00D66EC9" w:rsidRPr="00090CF2" w14:paraId="66A7DEBB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8BF500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SNAP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μV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 - Digit III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0E6E6C2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&gt;7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D3893F9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34.4 (15.3-43.0)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E9195F1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28.5 (13.8-40.8)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2321A43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-4.335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072662C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042B8C1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1188A7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SCV (m/s) - Digit I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3585E67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&gt;45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CE6D27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44.0 (41.0-47.8)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E24453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44.0 (40.0-47.8)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0812FA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-1.891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770E8C5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0.059</w:t>
            </w:r>
          </w:p>
        </w:tc>
      </w:tr>
      <w:tr w:rsidR="00D66EC9" w:rsidRPr="00090CF2" w14:paraId="283B648A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5A9947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SNAP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μV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 - Digit I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25B056D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&gt;7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90155B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26.9 (12.3-40.0)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34344B9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23.8 (11.4-38.8)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6B039D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-2.571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31A87FC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0.010</w:t>
            </w:r>
          </w:p>
        </w:tc>
      </w:tr>
      <w:tr w:rsidR="00D66EC9" w:rsidRPr="00090CF2" w14:paraId="7E60324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98CDB27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Ulnar Nerve, Median 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7BC0128C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2948B95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7BB9D61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39192AB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22B46A56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</w:tr>
      <w:tr w:rsidR="00D66EC9" w:rsidRPr="00090CF2" w14:paraId="7E58F65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B75506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MCV (m/s)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6E9ADA2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&gt;45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5AF2C3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53.0 (49.3-57.0)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C3FCFC8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52.5 (50.0-55.8)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7132663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-1.965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64B4922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0.049</w:t>
            </w:r>
          </w:p>
        </w:tc>
      </w:tr>
      <w:tr w:rsidR="00D66EC9" w:rsidRPr="00090CF2" w14:paraId="55B288EF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5EEEBE1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CMAP (mV)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29DBD7D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&gt;7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1F49A1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12.4 (9.8-14.7)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FC93528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11.6 (8.7-14.7)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5092BA6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-0.986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7BDC83A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0.324</w:t>
            </w:r>
          </w:p>
        </w:tc>
      </w:tr>
      <w:tr w:rsidR="00D66EC9" w:rsidRPr="00090CF2" w14:paraId="3EA81E10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D3C23B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SCV (m/s) - Digit V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473437F1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&gt;45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953056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48.5 (45.2-50.8)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103D727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48.5 (44.3-50.0)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B61C19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-1.993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004DAB0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0.046</w:t>
            </w:r>
          </w:p>
        </w:tc>
      </w:tr>
      <w:tr w:rsidR="00D66EC9" w:rsidRPr="00090CF2" w14:paraId="135F6481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2962DD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SNAP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μV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 - Digit V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6668A9A1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&gt;7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840653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18.3 (9.2-25.8)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97900F9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16.5 (8.0-25.0)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227173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-3.289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60B1784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0.001</w:t>
            </w:r>
          </w:p>
        </w:tc>
      </w:tr>
      <w:tr w:rsidR="00D66EC9" w:rsidRPr="00090CF2" w14:paraId="35BE1B7B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D9F6B4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Common Peroneal Nerve, Median 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77E24D8A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FC5986D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A7559A7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2FD1D28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635457ED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</w:tr>
      <w:tr w:rsidR="00D66EC9" w:rsidRPr="00090CF2" w14:paraId="7594EE83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931053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MCV (m/s)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48A2E0E8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&gt;45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B9B05C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45.5 (41.0-47.0)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538EFB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45.0 (41.2-47.0)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452271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-1.280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7EB15EF6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0.201</w:t>
            </w:r>
          </w:p>
        </w:tc>
      </w:tr>
      <w:tr w:rsidR="00D66EC9" w:rsidRPr="00090CF2" w14:paraId="073F519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D8F0E33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CMAP (mV)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2420A90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&gt;3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402083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6.2 (3.8-7.7)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D017A6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6.2 (4.0-7.6)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CC0734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-0.009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6E13C37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0.993</w:t>
            </w:r>
          </w:p>
        </w:tc>
      </w:tr>
      <w:tr w:rsidR="00D66EC9" w:rsidRPr="00090CF2" w14:paraId="7DD42D2F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329530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Tibial Nerve, Median 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036369EC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7E33A8F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34A3FCB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27DF8EE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45C3A66B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</w:tr>
      <w:tr w:rsidR="00D66EC9" w:rsidRPr="00090CF2" w14:paraId="2F843A01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FD66DD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MCV (m/s)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7041B8F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&gt;38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462857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48.5 (44.3-50.0)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2A82CF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47.5 (45.0-49.0)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8D27CD7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-1.621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7E0C0E0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0.105</w:t>
            </w:r>
          </w:p>
        </w:tc>
      </w:tr>
      <w:tr w:rsidR="00D66EC9" w:rsidRPr="00090CF2" w14:paraId="7A8CAB86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EB2093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CMAP (mV)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0F183616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&gt;3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EDF98F9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18.5 (12.7-19.8)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2FC5E06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17.7 (12.3-19.9)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6AFF6A7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-2.388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179642C8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0.017</w:t>
            </w:r>
          </w:p>
        </w:tc>
      </w:tr>
      <w:tr w:rsidR="00D66EC9" w:rsidRPr="00090CF2" w14:paraId="57E5443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19D2EB7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  <w:lang w:val="pt-BR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val="pt-BR" w:bidi="ar"/>
              </w:rPr>
              <w:t>Superficial Peroneal Nerve, Median 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0615DFDA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039589C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309104E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  <w:lang w:val="pt-BR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DC33A51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  <w:lang w:val="pt-BR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15A0E105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  <w:lang w:val="pt-BR"/>
              </w:rPr>
            </w:pPr>
          </w:p>
        </w:tc>
      </w:tr>
      <w:tr w:rsidR="00D66EC9" w:rsidRPr="00090CF2" w14:paraId="4FC39BAC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176648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SCV (m/s)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05FC433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&gt;39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9ABBEE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42.0 (40.0-44.0)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CC815B7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42.0 (39.3-44.0)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2F5C6D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-0.927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59DB5E7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0.354</w:t>
            </w:r>
          </w:p>
        </w:tc>
      </w:tr>
      <w:tr w:rsidR="00D66EC9" w:rsidRPr="00090CF2" w14:paraId="142034AE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E380847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lastRenderedPageBreak/>
              <w:t>SNAP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μV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66A249C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&gt;5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AF479A1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13.5 (6.5-16.2)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FEB13B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12.1 (6.0-14.0)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8613C69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-4.432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5557608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1A62F5C1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291ABD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Sural Nerve, Median 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197911AC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4A7B56C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0E7C414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65A16EC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192E258B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</w:tr>
      <w:tr w:rsidR="00D66EC9" w:rsidRPr="00090CF2" w14:paraId="52CC8D9A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17A9FB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SCV (m/s)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384D141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&gt;38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00827C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46.0 (43.3-48.0)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3E9941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46.0 (42.3-48.0)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2E4128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-0.037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42A86F8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0.970</w:t>
            </w:r>
          </w:p>
        </w:tc>
      </w:tr>
      <w:tr w:rsidR="00D66EC9" w:rsidRPr="00090CF2" w14:paraId="6CB65395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C611FD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SNAP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μV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050E6AB9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520EDD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33.6 (19.5-39.1)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B51E2A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30.5 (16.2-34.4)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F719A7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-4.948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44402AC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6D41CE13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9B170E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Medial Plantar Nerve, Median 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1745AF88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76BA4CF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79E8014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6A441CE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667D3AB3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</w:tr>
      <w:tr w:rsidR="00D66EC9" w:rsidRPr="00090CF2" w14:paraId="650FB9E9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08BA21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SCV (m/s)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57D5470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&gt;40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C13DEF8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45.0 (0-47.0)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15DA5B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39.5 (0-44.8)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0AC0EB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-4.178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73BE42A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10086E06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75C1728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SNAP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μV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12F1288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&gt;3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8ABC7F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4.85 (0-8.0)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1220B5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3.0 (0-6.0)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219070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-3.938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65307BC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3319761D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E71A25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Lateral Plantar Nerve, Median 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586CB180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CE25E8E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3524C5E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748A9BC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79A4673D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</w:tr>
      <w:tr w:rsidR="00D66EC9" w:rsidRPr="00090CF2" w14:paraId="38DB7F33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2D5003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SCV (m/s)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7075207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&gt;40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86BF00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41.0 (0-43.0)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FE3A17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 (0-42.0)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AB74906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-3.782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04793463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7B4EB769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7AB9B1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SNAP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μV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6D68EFA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&gt;2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DBFE6D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1.0 (0-3.0)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608817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 (0-1.8)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F5C136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-4.106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4A60B6B9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66A214C2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5DF400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Left H-reflex Latency (</w:t>
            </w:r>
            <w:proofErr w:type="spellStart"/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ms</w:t>
            </w:r>
            <w:proofErr w:type="spellEnd"/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), Median 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30A8941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&lt;33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E4591F1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34.2 (32.7-36.6)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DFC99C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33.8 (30.2-36.5)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EA3345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-0.672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161CB6E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0.502</w:t>
            </w:r>
          </w:p>
        </w:tc>
      </w:tr>
      <w:tr w:rsidR="00D66EC9" w:rsidRPr="00090CF2" w14:paraId="6EBF18E9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30349F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SEP N9 Wave, Median 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603878DE" w14:textId="77777777" w:rsidR="00D66EC9" w:rsidRPr="00090CF2" w:rsidRDefault="00D66EC9">
            <w:pPr>
              <w:keepNext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181C013" w14:textId="77777777" w:rsidR="00D66EC9" w:rsidRPr="00090CF2" w:rsidRDefault="00D66EC9">
            <w:pPr>
              <w:keepNext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9B29A88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3DF102C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4F7C4DBD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</w:tr>
      <w:tr w:rsidR="00D66EC9" w:rsidRPr="00090CF2" w14:paraId="7AB3CBA2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42B86E6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Latency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ms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04E300E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M &lt;11.9 / F &lt;10.1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3A614C8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9.7 (9.1-10.0)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577E9FC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9.5 (9.2-10.0)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45864A1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-0.517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0E19468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0.605</w:t>
            </w:r>
          </w:p>
        </w:tc>
      </w:tr>
      <w:tr w:rsidR="00D66EC9" w:rsidRPr="00090CF2" w14:paraId="5E2F3913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E980C3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Amplitude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μV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0A18CE3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&gt;0.54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4AC6EC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1.0 (0.3-1.0)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622646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0.5 (0.2-0.9)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0722EAA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-4.932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7774FD88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5498205A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4AD72A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>SSR Upper Limb, Median 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1D1562D1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87CAB17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1BC6FEA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51E46AF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258AB03F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2"/>
                <w:szCs w:val="22"/>
              </w:rPr>
            </w:pPr>
          </w:p>
        </w:tc>
      </w:tr>
      <w:tr w:rsidR="00D66EC9" w:rsidRPr="00090CF2" w14:paraId="41A67376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B1DF0C3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Latency (s)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76AA616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&lt;1.51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16769F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1.43 (1.33-1.52)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757D49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1.56 (1.46-1.69)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F8435E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-4.201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0E1473A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0AE4B1D6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9A857E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Amplitude (mV)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3A3FF65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&gt;0.50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2D9D91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1.00 (0.73-1.38)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A69583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0.80 (0.40-1.18)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66AE7A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-4.532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7E47285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0E137F34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28712D2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t xml:space="preserve">SSR Lower Limb, Median </w:t>
            </w:r>
            <w:r w:rsidRPr="00090CF2"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  <w:lastRenderedPageBreak/>
              <w:t>(IQR)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12E9BEFC" w14:textId="77777777" w:rsidR="00D66EC9" w:rsidRPr="00090CF2" w:rsidRDefault="00D66EC9">
            <w:pPr>
              <w:keepNext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C5081F9" w14:textId="77777777" w:rsidR="00D66EC9" w:rsidRPr="00090CF2" w:rsidRDefault="00D66EC9">
            <w:pPr>
              <w:keepNext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2796EF52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467E9AA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017C068A" w14:textId="77777777" w:rsidR="00D66EC9" w:rsidRPr="00090CF2" w:rsidRDefault="00D66EC9">
            <w:pPr>
              <w:keepNext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D66EC9" w:rsidRPr="00090CF2" w14:paraId="50A1143C" w14:textId="77777777">
        <w:trPr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D03A1A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Latency (s)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2F5DEFC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&lt;2.23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1C58964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2.27 (2.02-2.47)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52349177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2.39 (0-2.64)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5BD5301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-3.789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0B261FD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  <w:tr w:rsidR="00D66EC9" w:rsidRPr="00090CF2" w14:paraId="3BA15417" w14:textId="77777777">
        <w:trPr>
          <w:jc w:val="center"/>
        </w:trPr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 w14:paraId="4E922F6B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Style w:val="a5"/>
                <w:rFonts w:ascii="Times New Roman" w:eastAsia="Segoe UI" w:hAnsi="Times New Roman" w:cs="Times New Roman"/>
                <w:b w:val="0"/>
                <w:color w:val="0F1115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Amplitude (mV)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5931EBBE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&gt;0.36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vAlign w:val="center"/>
          </w:tcPr>
          <w:p w14:paraId="6B2DC9FD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left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0.60 (0.30-0.98)</w:t>
            </w:r>
          </w:p>
        </w:tc>
        <w:tc>
          <w:tcPr>
            <w:tcW w:w="2098" w:type="dxa"/>
            <w:tcBorders>
              <w:tl2br w:val="nil"/>
              <w:tr2bl w:val="nil"/>
            </w:tcBorders>
            <w:vAlign w:val="center"/>
          </w:tcPr>
          <w:p w14:paraId="56AAD350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0.30 (0-0.50)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 w14:paraId="72798D2F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1B1B1B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Z = -4.996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vAlign w:val="center"/>
          </w:tcPr>
          <w:p w14:paraId="3C2A3E35" w14:textId="77777777" w:rsidR="00D66EC9" w:rsidRPr="00090CF2" w:rsidRDefault="00090CF2">
            <w:pPr>
              <w:keepNext/>
              <w:widowControl/>
              <w:adjustRightInd w:val="0"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&lt;0.001</w:t>
            </w:r>
          </w:p>
        </w:tc>
      </w:tr>
    </w:tbl>
    <w:p w14:paraId="754BC5C1" w14:textId="77777777" w:rsidR="00D66EC9" w:rsidRPr="00090CF2" w:rsidRDefault="00D66EC9">
      <w:pPr>
        <w:adjustRightInd w:val="0"/>
        <w:snapToGrid w:val="0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5C7F1105" w14:textId="0FCEDDD9" w:rsidR="00D66EC9" w:rsidRPr="00595860" w:rsidRDefault="00090CF2">
      <w:pPr>
        <w:pStyle w:val="a3"/>
        <w:widowControl/>
        <w:shd w:val="clear" w:color="auto" w:fill="FFFFFF"/>
        <w:adjustRightInd w:val="0"/>
        <w:snapToGrid w:val="0"/>
        <w:spacing w:line="360" w:lineRule="auto"/>
        <w:rPr>
          <w:rStyle w:val="a5"/>
          <w:rFonts w:ascii="Times New Roman" w:eastAsia="宋体" w:hAnsi="Times New Roman" w:cs="Times New Roman" w:hint="eastAsia"/>
          <w:b w:val="0"/>
          <w:sz w:val="22"/>
          <w:szCs w:val="22"/>
          <w:shd w:val="clear" w:color="auto" w:fill="FFFFFF"/>
        </w:rPr>
      </w:pPr>
      <w:r w:rsidRPr="00090CF2">
        <w:rPr>
          <w:rStyle w:val="a5"/>
          <w:rFonts w:ascii="Times New Roman" w:eastAsia="Segoe UI" w:hAnsi="Times New Roman" w:cs="Times New Roman"/>
          <w:b w:val="0"/>
          <w:sz w:val="22"/>
          <w:szCs w:val="22"/>
          <w:shd w:val="clear" w:color="auto" w:fill="FFFFFF"/>
        </w:rPr>
        <w:t>Supplementary</w:t>
      </w:r>
      <w:r w:rsidRPr="00090CF2">
        <w:rPr>
          <w:rStyle w:val="a5"/>
          <w:rFonts w:ascii="Times New Roman" w:eastAsia="Segoe UI" w:hAnsi="Times New Roman" w:cs="Times New Roman" w:hint="eastAsia"/>
          <w:b w:val="0"/>
          <w:sz w:val="22"/>
          <w:szCs w:val="22"/>
          <w:shd w:val="clear" w:color="auto" w:fill="FFFFFF"/>
        </w:rPr>
        <w:t xml:space="preserve"> </w:t>
      </w:r>
      <w:r w:rsidRPr="00090CF2">
        <w:rPr>
          <w:rStyle w:val="a5"/>
          <w:rFonts w:ascii="Times New Roman" w:eastAsia="Segoe UI" w:hAnsi="Times New Roman" w:cs="Times New Roman"/>
          <w:b w:val="0"/>
          <w:sz w:val="22"/>
          <w:szCs w:val="22"/>
          <w:shd w:val="clear" w:color="auto" w:fill="FFFFFF"/>
        </w:rPr>
        <w:t xml:space="preserve">Table </w:t>
      </w:r>
      <w:r w:rsidRPr="00090CF2">
        <w:rPr>
          <w:rStyle w:val="a5"/>
          <w:rFonts w:ascii="Times New Roman" w:eastAsia="Segoe UI" w:hAnsi="Times New Roman" w:cs="Times New Roman" w:hint="eastAsia"/>
          <w:b w:val="0"/>
          <w:sz w:val="22"/>
          <w:szCs w:val="22"/>
          <w:shd w:val="clear" w:color="auto" w:fill="FFFFFF"/>
        </w:rPr>
        <w:t>3</w:t>
      </w:r>
      <w:r w:rsidRPr="00090CF2">
        <w:rPr>
          <w:rStyle w:val="a5"/>
          <w:rFonts w:ascii="Times New Roman" w:eastAsia="Segoe UI" w:hAnsi="Times New Roman" w:cs="Times New Roman"/>
          <w:b w:val="0"/>
          <w:sz w:val="22"/>
          <w:szCs w:val="22"/>
          <w:shd w:val="clear" w:color="auto" w:fill="FFFFFF"/>
        </w:rPr>
        <w:t>. Exploratory analysis of detection rates of different testing strategies in patients with subclinical CIPN (n=5)</w:t>
      </w:r>
      <w:r w:rsidRPr="00090CF2">
        <w:rPr>
          <w:rStyle w:val="a5"/>
          <w:rFonts w:ascii="Times New Roman" w:eastAsia="宋体" w:hAnsi="Times New Roman" w:cs="Times New Roman" w:hint="eastAsia"/>
          <w:b w:val="0"/>
          <w:sz w:val="22"/>
          <w:szCs w:val="22"/>
          <w:shd w:val="clear" w:color="auto" w:fill="FFFFFF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2"/>
        <w:gridCol w:w="2038"/>
        <w:gridCol w:w="2130"/>
      </w:tblGrid>
      <w:tr w:rsidR="00D66EC9" w:rsidRPr="00090CF2" w14:paraId="4555E1B4" w14:textId="77777777">
        <w:tc>
          <w:tcPr>
            <w:tcW w:w="22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B40F63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Testing Strategy</w:t>
            </w:r>
          </w:p>
        </w:tc>
        <w:tc>
          <w:tcPr>
            <w:tcW w:w="20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BF1877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Detected Cases (n=5)</w:t>
            </w:r>
          </w:p>
        </w:tc>
        <w:tc>
          <w:tcPr>
            <w:tcW w:w="21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1A5C5B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Detection Rate (%)</w:t>
            </w:r>
          </w:p>
        </w:tc>
      </w:tr>
      <w:tr w:rsidR="00D66EC9" w:rsidRPr="00090CF2" w14:paraId="6F9B390C" w14:textId="77777777"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C09DA5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NCS Alone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6C81F5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C264A0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80.0</w:t>
            </w:r>
          </w:p>
        </w:tc>
      </w:tr>
      <w:tr w:rsidR="00D66EC9" w:rsidRPr="00090CF2" w14:paraId="1140F444" w14:textId="77777777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862EB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SSR Alone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79807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02966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100.0</w:t>
            </w:r>
          </w:p>
        </w:tc>
      </w:tr>
      <w:tr w:rsidR="00D66EC9" w:rsidRPr="00090CF2" w14:paraId="7F1C78F9" w14:textId="77777777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78FC0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tSEP</w:t>
            </w:r>
            <w:proofErr w:type="spellEnd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Alone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27152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235F2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40.0</w:t>
            </w:r>
          </w:p>
        </w:tc>
      </w:tr>
      <w:tr w:rsidR="00D66EC9" w:rsidRPr="00090CF2" w14:paraId="3123DB6B" w14:textId="77777777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9F686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NCS Combined with SSR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33524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A8458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100.0</w:t>
            </w:r>
          </w:p>
        </w:tc>
      </w:tr>
      <w:tr w:rsidR="00D66EC9" w:rsidRPr="00090CF2" w14:paraId="60D2A753" w14:textId="77777777">
        <w:tc>
          <w:tcPr>
            <w:tcW w:w="2222" w:type="dxa"/>
            <w:tcBorders>
              <w:top w:val="nil"/>
              <w:left w:val="nil"/>
              <w:right w:val="nil"/>
            </w:tcBorders>
            <w:vAlign w:val="center"/>
          </w:tcPr>
          <w:p w14:paraId="47A55B3B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NCS + SSR + </w:t>
            </w:r>
            <w:proofErr w:type="spellStart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tSEP</w:t>
            </w:r>
            <w:proofErr w:type="spellEnd"/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 xml:space="preserve"> Combined</w:t>
            </w:r>
          </w:p>
        </w:tc>
        <w:tc>
          <w:tcPr>
            <w:tcW w:w="2038" w:type="dxa"/>
            <w:tcBorders>
              <w:top w:val="nil"/>
              <w:left w:val="nil"/>
              <w:right w:val="nil"/>
            </w:tcBorders>
            <w:vAlign w:val="center"/>
          </w:tcPr>
          <w:p w14:paraId="2DA9CB97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vAlign w:val="center"/>
          </w:tcPr>
          <w:p w14:paraId="65F41B92" w14:textId="77777777" w:rsidR="00D66EC9" w:rsidRPr="00090CF2" w:rsidRDefault="00090CF2">
            <w:pPr>
              <w:widowControl/>
              <w:adjustRightInd w:val="0"/>
              <w:snapToGrid w:val="0"/>
              <w:spacing w:line="360" w:lineRule="auto"/>
              <w:jc w:val="left"/>
              <w:rPr>
                <w:rStyle w:val="a5"/>
                <w:rFonts w:ascii="Times New Roman" w:eastAsia="宋体" w:hAnsi="Times New Roman" w:cs="Times New Roman"/>
                <w:b w:val="0"/>
                <w:sz w:val="22"/>
                <w:szCs w:val="22"/>
                <w:shd w:val="clear" w:color="auto" w:fill="FFFFFF"/>
              </w:rPr>
            </w:pPr>
            <w:r w:rsidRPr="00090CF2">
              <w:rPr>
                <w:rFonts w:ascii="Times New Roman" w:eastAsia="Segoe UI" w:hAnsi="Times New Roman" w:cs="Times New Roman"/>
                <w:kern w:val="0"/>
                <w:sz w:val="22"/>
                <w:szCs w:val="22"/>
                <w:lang w:bidi="ar"/>
              </w:rPr>
              <w:t>100.0</w:t>
            </w:r>
          </w:p>
        </w:tc>
      </w:tr>
    </w:tbl>
    <w:p w14:paraId="0C69FB97" w14:textId="78644A01" w:rsidR="00D66EC9" w:rsidRPr="00090CF2" w:rsidRDefault="00090CF2">
      <w:pPr>
        <w:pStyle w:val="a3"/>
        <w:widowControl/>
        <w:shd w:val="clear" w:color="auto" w:fill="FFFFFF"/>
        <w:adjustRightInd w:val="0"/>
        <w:snapToGrid w:val="0"/>
        <w:spacing w:line="360" w:lineRule="auto"/>
        <w:rPr>
          <w:rFonts w:ascii="Times New Roman" w:eastAsia="Segoe UI" w:hAnsi="Times New Roman" w:cs="Times New Roman"/>
          <w:sz w:val="21"/>
          <w:szCs w:val="21"/>
        </w:rPr>
      </w:pPr>
      <w:r w:rsidRPr="00090CF2">
        <w:rPr>
          <w:rFonts w:ascii="Times New Roman" w:eastAsia="Segoe UI" w:hAnsi="Times New Roman" w:cs="Times New Roman"/>
          <w:sz w:val="21"/>
          <w:szCs w:val="21"/>
        </w:rPr>
        <w:t>Note: Results are descriptive only due to the extremely small sample size; formal statistical comparison is unreliable.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090CF2">
        <w:rPr>
          <w:rFonts w:ascii="Times New Roman" w:eastAsia="Segoe UI" w:hAnsi="Times New Roman" w:cs="Times New Roman" w:hint="eastAsia"/>
          <w:sz w:val="21"/>
          <w:szCs w:val="21"/>
        </w:rPr>
        <w:t xml:space="preserve">P value was calculated using </w:t>
      </w:r>
      <w:proofErr w:type="spellStart"/>
      <w:r w:rsidRPr="00090CF2">
        <w:rPr>
          <w:rFonts w:ascii="Times New Roman" w:eastAsia="Segoe UI" w:hAnsi="Times New Roman" w:cs="Times New Roman" w:hint="eastAsia"/>
          <w:sz w:val="21"/>
          <w:szCs w:val="21"/>
        </w:rPr>
        <w:t>McNemar</w:t>
      </w:r>
      <w:r>
        <w:rPr>
          <w:rFonts w:ascii="Times New Roman" w:hAnsi="Times New Roman" w:cs="Times New Roman"/>
          <w:sz w:val="21"/>
          <w:szCs w:val="21"/>
        </w:rPr>
        <w:t>’</w:t>
      </w:r>
      <w:r w:rsidRPr="00090CF2">
        <w:rPr>
          <w:rFonts w:ascii="Times New Roman" w:eastAsia="Segoe UI" w:hAnsi="Times New Roman" w:cs="Times New Roman" w:hint="eastAsia"/>
          <w:sz w:val="21"/>
          <w:szCs w:val="21"/>
        </w:rPr>
        <w:t>s</w:t>
      </w:r>
      <w:proofErr w:type="spellEnd"/>
      <w:r w:rsidRPr="00090CF2">
        <w:rPr>
          <w:rFonts w:ascii="Times New Roman" w:eastAsia="Segoe UI" w:hAnsi="Times New Roman" w:cs="Times New Roman" w:hint="eastAsia"/>
          <w:sz w:val="21"/>
          <w:szCs w:val="21"/>
        </w:rPr>
        <w:t xml:space="preserve"> exact test comparing NCS alone vs. NCS combined with SSR. Due to the small sample size (n=5), this analysis is descriptive and exploratory only</w:t>
      </w:r>
      <w:r w:rsidRPr="00090CF2">
        <w:rPr>
          <w:rFonts w:ascii="Times New Roman" w:eastAsia="Segoe UI" w:hAnsi="Times New Roman" w:cs="Times New Roman"/>
          <w:sz w:val="21"/>
          <w:szCs w:val="21"/>
        </w:rPr>
        <w:t>; the P value of 1.00 indicates that no reliable statistical inference can be drawn from this subgroup. These findings should be interpreted with extreme caution and require validation in larger prospective studies.</w:t>
      </w:r>
    </w:p>
    <w:p w14:paraId="0F8B55E1" w14:textId="77777777" w:rsidR="00D66EC9" w:rsidRPr="00090CF2" w:rsidRDefault="00D66EC9">
      <w:pPr>
        <w:adjustRightInd w:val="0"/>
        <w:snapToGrid w:val="0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6FDC1B93" w14:textId="77777777" w:rsidR="00D66EC9" w:rsidRPr="00090CF2" w:rsidRDefault="00090CF2">
      <w:pP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</w:pP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Supplementary Table </w:t>
      </w:r>
      <w:r w:rsidRPr="00090CF2">
        <w:rPr>
          <w:rFonts w:ascii="Times New Roman" w:eastAsia="宋体" w:hAnsi="Times New Roman" w:cs="Times New Roman" w:hint="eastAsia"/>
          <w:color w:val="0F1115"/>
          <w:sz w:val="22"/>
          <w:szCs w:val="22"/>
          <w:shd w:val="clear" w:color="auto" w:fill="FFFFFF"/>
        </w:rPr>
        <w:t>4</w:t>
      </w: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. Comparison of AUCs before and after exclusion of subclinical patients.</w:t>
      </w:r>
    </w:p>
    <w:tbl>
      <w:tblPr>
        <w:tblW w:w="8617" w:type="dxa"/>
        <w:jc w:val="center"/>
        <w:tblLook w:val="04A0" w:firstRow="1" w:lastRow="0" w:firstColumn="1" w:lastColumn="0" w:noHBand="0" w:noVBand="1"/>
      </w:tblPr>
      <w:tblGrid>
        <w:gridCol w:w="3162"/>
        <w:gridCol w:w="1762"/>
        <w:gridCol w:w="2165"/>
        <w:gridCol w:w="1157"/>
        <w:gridCol w:w="932"/>
      </w:tblGrid>
      <w:tr w:rsidR="00D66EC9" w:rsidRPr="00090CF2" w14:paraId="60D2EDDE" w14:textId="77777777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ECE82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E1603D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AUC </w:t>
            </w:r>
          </w:p>
          <w:p w14:paraId="6F25D95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</w:t>
            </w:r>
            <w:proofErr w:type="gram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with</w:t>
            </w:r>
            <w:proofErr w:type="gram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 subclinical)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7FA57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AUC </w:t>
            </w:r>
          </w:p>
          <w:p w14:paraId="74D4580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</w:t>
            </w:r>
            <w:proofErr w:type="gram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subclinical</w:t>
            </w:r>
            <w:proofErr w:type="gram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 excluded)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4B7F09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Difference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CED0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P value</w:t>
            </w:r>
          </w:p>
        </w:tc>
      </w:tr>
      <w:tr w:rsidR="00D66EC9" w:rsidRPr="00090CF2" w14:paraId="38AF1558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9C486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Medial plantar nerve SCV (m/s)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A021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0.798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CEA5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0.798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2849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83158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1.000</w:t>
            </w:r>
          </w:p>
        </w:tc>
      </w:tr>
      <w:tr w:rsidR="00D66EC9" w:rsidRPr="00090CF2" w14:paraId="045683AC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09758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Upper limb SSR amplitude (mV)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50A5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A78A8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DA72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–0.028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8854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0.207</w:t>
            </w:r>
          </w:p>
        </w:tc>
      </w:tr>
      <w:tr w:rsidR="00D66EC9" w:rsidRPr="00090CF2" w14:paraId="0293CA72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789A9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Lower limb SSR amplitude (mV)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1CBC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1F3E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9D84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–0.063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2CE3A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0.080</w:t>
            </w:r>
          </w:p>
        </w:tc>
      </w:tr>
      <w:tr w:rsidR="00D66EC9" w:rsidRPr="00090CF2" w14:paraId="43A80647" w14:textId="77777777">
        <w:trPr>
          <w:jc w:val="center"/>
        </w:trPr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23143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tSEP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 N9 wave amplitude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μV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8D3374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0.760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451BE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C9937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–0.107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FD129F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0.104</w:t>
            </w:r>
          </w:p>
        </w:tc>
      </w:tr>
    </w:tbl>
    <w:p w14:paraId="3C27EA46" w14:textId="77777777" w:rsidR="00D66EC9" w:rsidRPr="00090CF2" w:rsidRDefault="00090CF2">
      <w:pPr>
        <w:pStyle w:val="a3"/>
        <w:widowControl/>
        <w:shd w:val="clear" w:color="auto" w:fill="FFFFFF"/>
        <w:spacing w:before="160" w:after="160"/>
        <w:rPr>
          <w:rFonts w:ascii="Times New Roman" w:eastAsia="Segoe UI" w:hAnsi="Times New Roman" w:cs="Times New Roman"/>
          <w:color w:val="0F1115"/>
          <w:sz w:val="22"/>
          <w:szCs w:val="22"/>
        </w:rPr>
      </w:pP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Difference = AUC (with subclinical) – AUC (subclinical excluded); negative values indicate an increase after exclusion.</w:t>
      </w:r>
    </w:p>
    <w:p w14:paraId="528B5097" w14:textId="77777777" w:rsidR="00D66EC9" w:rsidRPr="00090CF2" w:rsidRDefault="00090CF2">
      <w:pPr>
        <w:pStyle w:val="a3"/>
        <w:widowControl/>
        <w:shd w:val="clear" w:color="auto" w:fill="FFFFFF"/>
        <w:spacing w:before="160" w:after="160"/>
        <w:rPr>
          <w:rFonts w:ascii="Times New Roman" w:eastAsia="Segoe UI" w:hAnsi="Times New Roman" w:cs="Times New Roman"/>
          <w:color w:val="0F1115"/>
          <w:sz w:val="22"/>
          <w:szCs w:val="22"/>
        </w:rPr>
      </w:pP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Note: P values were calculated using the DeLong test comparing the two ROC curves.</w:t>
      </w:r>
    </w:p>
    <w:p w14:paraId="2F741CFC" w14:textId="77777777" w:rsidR="00D66EC9" w:rsidRPr="00090CF2" w:rsidRDefault="00D66EC9">
      <w:pP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</w:pPr>
    </w:p>
    <w:p w14:paraId="4978777E" w14:textId="77777777" w:rsidR="00D66EC9" w:rsidRPr="00090CF2" w:rsidRDefault="00090CF2">
      <w:pPr>
        <w:pStyle w:val="a3"/>
        <w:widowControl/>
        <w:shd w:val="clear" w:color="auto" w:fill="FFFFFF"/>
        <w:spacing w:before="160" w:after="160"/>
        <w:rPr>
          <w:rFonts w:ascii="Times New Roman" w:eastAsia="Segoe UI" w:hAnsi="Times New Roman" w:cs="Times New Roman"/>
          <w:color w:val="0F1115"/>
          <w:sz w:val="22"/>
          <w:szCs w:val="22"/>
        </w:rPr>
      </w:pP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Supplementary Table </w:t>
      </w:r>
      <w:r w:rsidRPr="00090CF2">
        <w:rPr>
          <w:rFonts w:ascii="Times New Roman" w:eastAsia="宋体" w:hAnsi="Times New Roman" w:cs="Times New Roman" w:hint="eastAsia"/>
          <w:color w:val="0F1115"/>
          <w:sz w:val="22"/>
          <w:szCs w:val="22"/>
          <w:shd w:val="clear" w:color="auto" w:fill="FFFFFF"/>
        </w:rPr>
        <w:t>5</w:t>
      </w: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. Comparison of AUCs of main electrophysiological parameters before and after exclusion of diabetic patients</w:t>
      </w:r>
    </w:p>
    <w:p w14:paraId="0E431DA0" w14:textId="77777777" w:rsidR="00D66EC9" w:rsidRPr="00090CF2" w:rsidRDefault="00D66EC9">
      <w:pP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</w:pPr>
    </w:p>
    <w:tbl>
      <w:tblPr>
        <w:tblW w:w="8876" w:type="dxa"/>
        <w:jc w:val="center"/>
        <w:tblLook w:val="04A0" w:firstRow="1" w:lastRow="0" w:firstColumn="1" w:lastColumn="0" w:noHBand="0" w:noVBand="1"/>
      </w:tblPr>
      <w:tblGrid>
        <w:gridCol w:w="3162"/>
        <w:gridCol w:w="1347"/>
        <w:gridCol w:w="1463"/>
        <w:gridCol w:w="1463"/>
        <w:gridCol w:w="1463"/>
        <w:gridCol w:w="1157"/>
        <w:gridCol w:w="826"/>
      </w:tblGrid>
      <w:tr w:rsidR="00D66EC9" w:rsidRPr="00090CF2" w14:paraId="5765E179" w14:textId="77777777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BB005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1DDE4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AUC </w:t>
            </w:r>
          </w:p>
          <w:p w14:paraId="24E0CD2A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</w:t>
            </w:r>
            <w:proofErr w:type="gram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full</w:t>
            </w:r>
            <w:proofErr w:type="gram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 sample)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84356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95% CI </w:t>
            </w:r>
          </w:p>
          <w:p w14:paraId="6F82D37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</w:t>
            </w:r>
            <w:proofErr w:type="gram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full</w:t>
            </w:r>
            <w:proofErr w:type="gram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 sample)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C901E2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AUC </w:t>
            </w:r>
          </w:p>
          <w:p w14:paraId="6AAFAC6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</w:t>
            </w:r>
            <w:proofErr w:type="gram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non</w:t>
            </w:r>
            <w:proofErr w:type="gram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noBreakHyphen/>
              <w:t>diabetic)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F5AFF8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95% CI </w:t>
            </w:r>
          </w:p>
          <w:p w14:paraId="2C7179B9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</w:t>
            </w:r>
            <w:proofErr w:type="gram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non</w:t>
            </w:r>
            <w:proofErr w:type="gram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noBreakHyphen/>
              <w:t>diabetic)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C4838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Difference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EC55D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P value</w:t>
            </w:r>
          </w:p>
        </w:tc>
      </w:tr>
      <w:tr w:rsidR="00D66EC9" w:rsidRPr="00090CF2" w14:paraId="5405D8E6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9549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Medial plantar nerve SCV (m/s)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F1C6A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0.798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3AC2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(0.661–0.934)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D6E1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0.799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796DB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(0.638–0.960)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3F37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+0.001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5F1B1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0.973</w:t>
            </w:r>
          </w:p>
        </w:tc>
      </w:tr>
      <w:tr w:rsidR="00D66EC9" w:rsidRPr="00090CF2" w14:paraId="55DE294B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D624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Upper limb SSR amplitude (mV)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06AF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5478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(0.721–0.967)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69DD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294AE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(0.692–0.992)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E23E8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–0.002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A46DD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0.968</w:t>
            </w:r>
          </w:p>
        </w:tc>
      </w:tr>
      <w:tr w:rsidR="00D66EC9" w:rsidRPr="00090CF2" w14:paraId="2B2AD7AF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80A1C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Lower limb SSR amplitude (mV)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38DF7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362A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(0.706–0.958)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98120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2E0D4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(0.680–0.981)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6D11A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–0.002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87F87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0.978</w:t>
            </w:r>
          </w:p>
        </w:tc>
      </w:tr>
      <w:tr w:rsidR="00D66EC9" w:rsidRPr="00090CF2" w14:paraId="728994BC" w14:textId="77777777">
        <w:trPr>
          <w:jc w:val="center"/>
        </w:trPr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5F42C3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tSEP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 N9 wave amplitude (</w:t>
            </w:r>
            <w:proofErr w:type="spellStart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μV</w:t>
            </w:r>
            <w:proofErr w:type="spellEnd"/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5746E2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0.760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C96309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(0.600–0.921)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F9578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0.725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5AC48A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(0.531–0.919)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067EF2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–0.035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E17BB5" w14:textId="77777777" w:rsidR="00D66EC9" w:rsidRPr="00090CF2" w:rsidRDefault="00090CF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0.503</w:t>
            </w:r>
          </w:p>
        </w:tc>
      </w:tr>
    </w:tbl>
    <w:p w14:paraId="3815C649" w14:textId="77777777" w:rsidR="00D66EC9" w:rsidRPr="00090CF2" w:rsidRDefault="00090CF2">
      <w:pPr>
        <w:pStyle w:val="a3"/>
        <w:widowControl/>
        <w:shd w:val="clear" w:color="auto" w:fill="FFFFFF"/>
        <w:spacing w:before="160" w:after="160"/>
        <w:rPr>
          <w:rFonts w:ascii="Times New Roman" w:eastAsia="Segoe UI" w:hAnsi="Times New Roman" w:cs="Times New Roman"/>
          <w:color w:val="0F1115"/>
          <w:sz w:val="22"/>
          <w:szCs w:val="22"/>
        </w:rPr>
      </w:pP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Difference = AUC (full sample) – AUC (non</w:t>
      </w: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noBreakHyphen/>
        <w:t>diabetic); positive values indicate a decrease after exclusion, negative values indicate an increase after exclusion.</w:t>
      </w:r>
    </w:p>
    <w:p w14:paraId="73A5F4EA" w14:textId="77777777" w:rsidR="00D66EC9" w:rsidRPr="00090CF2" w:rsidRDefault="00090CF2">
      <w:pPr>
        <w:pStyle w:val="a3"/>
        <w:widowControl/>
        <w:shd w:val="clear" w:color="auto" w:fill="FFFFFF"/>
        <w:spacing w:before="160" w:after="160"/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</w:pP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Note: P values were calculated using DeLong’s test for paired ROC curves. None of the differences were statistically significant (all P &gt; 0.05).</w:t>
      </w:r>
    </w:p>
    <w:p w14:paraId="06B25CDD" w14:textId="77777777" w:rsidR="00D66EC9" w:rsidRPr="00090CF2" w:rsidRDefault="00D66EC9">
      <w:pPr>
        <w:pStyle w:val="a3"/>
        <w:widowControl/>
        <w:shd w:val="clear" w:color="auto" w:fill="FFFFFF"/>
        <w:spacing w:before="160" w:after="160"/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</w:pPr>
    </w:p>
    <w:p w14:paraId="19CE84FE" w14:textId="77777777" w:rsidR="00D66EC9" w:rsidRPr="00090CF2" w:rsidRDefault="00090CF2">
      <w:pPr>
        <w:pStyle w:val="a3"/>
        <w:widowControl/>
        <w:shd w:val="clear" w:color="auto" w:fill="FFFFFF"/>
        <w:spacing w:before="160" w:after="160"/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</w:pP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 xml:space="preserve">Supplementary Table </w:t>
      </w:r>
      <w:r w:rsidRPr="00090CF2">
        <w:rPr>
          <w:rFonts w:ascii="Times New Roman" w:eastAsia="宋体" w:hAnsi="Times New Roman" w:cs="Times New Roman" w:hint="eastAsia"/>
          <w:color w:val="0F1115"/>
          <w:sz w:val="22"/>
          <w:szCs w:val="22"/>
          <w:shd w:val="clear" w:color="auto" w:fill="FFFFFF"/>
        </w:rPr>
        <w:t>6</w:t>
      </w: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. Comparison of AUCs of main electrophysiological parameters before and after adjusting for chemotherapy cycles</w:t>
      </w:r>
    </w:p>
    <w:tbl>
      <w:tblPr>
        <w:tblW w:w="8466" w:type="dxa"/>
        <w:jc w:val="center"/>
        <w:tblBorders>
          <w:top w:val="single" w:sz="4" w:space="0" w:color="auto"/>
          <w:bottom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0"/>
        <w:gridCol w:w="2219"/>
        <w:gridCol w:w="2151"/>
        <w:gridCol w:w="1261"/>
        <w:gridCol w:w="865"/>
      </w:tblGrid>
      <w:tr w:rsidR="00D66EC9" w:rsidRPr="00090CF2" w14:paraId="5B8F4450" w14:textId="77777777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08717507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Parameter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EB957F5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Unadjusted AUC </w:t>
            </w:r>
          </w:p>
          <w:p w14:paraId="4EF2248F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(95% CI)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A234E79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 xml:space="preserve">Adjusted* AUC </w:t>
            </w:r>
          </w:p>
          <w:p w14:paraId="3700876F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(95% CI)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7299646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Difference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F939D2D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P value</w:t>
            </w:r>
          </w:p>
        </w:tc>
      </w:tr>
      <w:tr w:rsidR="00D66EC9" w:rsidRPr="00090CF2" w14:paraId="6BBC2BBD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24D511DE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Upper limb SSR amplitude</w:t>
            </w:r>
          </w:p>
        </w:tc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E80F6CD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0.844 (0.721–0.967)</w:t>
            </w:r>
          </w:p>
        </w:tc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C49B173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0.865 (0.752–0.978)</w:t>
            </w:r>
          </w:p>
        </w:tc>
        <w:tc>
          <w:tcPr>
            <w:tcW w:w="0" w:type="auto"/>
            <w:tcBorders>
              <w:top w:val="single" w:sz="4" w:space="0" w:color="auto"/>
              <w:tl2br w:val="nil"/>
              <w:tr2bl w:val="nil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6B716CA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0.021</w:t>
            </w:r>
          </w:p>
        </w:tc>
        <w:tc>
          <w:tcPr>
            <w:tcW w:w="866" w:type="dxa"/>
            <w:tcBorders>
              <w:top w:val="single" w:sz="4" w:space="0" w:color="auto"/>
              <w:tl2br w:val="nil"/>
              <w:tr2bl w:val="nil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1E649A1B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0.320</w:t>
            </w:r>
          </w:p>
        </w:tc>
      </w:tr>
      <w:tr w:rsidR="00D66EC9" w:rsidRPr="00090CF2" w14:paraId="59322187" w14:textId="77777777">
        <w:trPr>
          <w:jc w:val="center"/>
        </w:trPr>
        <w:tc>
          <w:tcPr>
            <w:tcW w:w="1987" w:type="dxa"/>
            <w:tcBorders>
              <w:tl2br w:val="nil"/>
              <w:tr2bl w:val="nil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160" w:type="dxa"/>
            </w:tcMar>
            <w:vAlign w:val="center"/>
          </w:tcPr>
          <w:p w14:paraId="06AB89A7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Medial plantar nerve SCV</w:t>
            </w:r>
          </w:p>
        </w:tc>
        <w:tc>
          <w:tcPr>
            <w:tcW w:w="2236" w:type="dxa"/>
            <w:tcBorders>
              <w:tl2br w:val="nil"/>
              <w:tr2bl w:val="nil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B3678A3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0.798 (0.661–0.934)</w:t>
            </w:r>
          </w:p>
        </w:tc>
        <w:tc>
          <w:tcPr>
            <w:tcW w:w="2168" w:type="dxa"/>
            <w:tcBorders>
              <w:tl2br w:val="nil"/>
              <w:tr2bl w:val="nil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1228346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0.842 (0.722–0.962)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26DF4D2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0.044</w:t>
            </w:r>
          </w:p>
        </w:tc>
        <w:tc>
          <w:tcPr>
            <w:tcW w:w="866" w:type="dxa"/>
            <w:tcBorders>
              <w:tl2br w:val="nil"/>
              <w:tr2bl w:val="nil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0" w:type="dxa"/>
            </w:tcMar>
            <w:vAlign w:val="center"/>
          </w:tcPr>
          <w:p w14:paraId="5F18F46B" w14:textId="77777777" w:rsidR="00D66EC9" w:rsidRPr="00090CF2" w:rsidRDefault="00090CF2">
            <w:pPr>
              <w:keepNext/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  <w:sz w:val="22"/>
                <w:szCs w:val="22"/>
              </w:rPr>
            </w:pPr>
            <w:r w:rsidRPr="00090CF2">
              <w:rPr>
                <w:rFonts w:ascii="Times New Roman" w:eastAsia="Segoe UI" w:hAnsi="Times New Roman" w:cs="Times New Roman"/>
                <w:color w:val="0F1115"/>
                <w:kern w:val="0"/>
                <w:sz w:val="22"/>
                <w:szCs w:val="22"/>
                <w:lang w:bidi="ar"/>
              </w:rPr>
              <w:t>0.180</w:t>
            </w:r>
          </w:p>
        </w:tc>
      </w:tr>
    </w:tbl>
    <w:p w14:paraId="2D5F4FA6" w14:textId="77777777" w:rsidR="00D66EC9" w:rsidRPr="00090CF2" w:rsidRDefault="00090CF2">
      <w:pPr>
        <w:pStyle w:val="a3"/>
        <w:widowControl/>
        <w:shd w:val="clear" w:color="auto" w:fill="FFFFFF"/>
        <w:spacing w:before="160" w:after="160"/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</w:pPr>
      <w:r w:rsidRPr="00090CF2"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  <w:t>Difference = Adjusted AUC – Unadjusted AUC; positive values indicate an increase after adjustment.</w:t>
      </w:r>
    </w:p>
    <w:p w14:paraId="40112B3F" w14:textId="77777777" w:rsidR="00D66EC9" w:rsidRPr="00090CF2" w:rsidRDefault="00D66EC9">
      <w:pPr>
        <w:rPr>
          <w:rFonts w:ascii="Times New Roman" w:eastAsia="Segoe UI" w:hAnsi="Times New Roman" w:cs="Times New Roman"/>
          <w:color w:val="0F1115"/>
          <w:sz w:val="22"/>
          <w:szCs w:val="22"/>
          <w:shd w:val="clear" w:color="auto" w:fill="FFFFFF"/>
        </w:rPr>
      </w:pPr>
    </w:p>
    <w:sectPr w:rsidR="00D66EC9" w:rsidRPr="00090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6EC9"/>
    <w:rsid w:val="00090CF2"/>
    <w:rsid w:val="00595860"/>
    <w:rsid w:val="00D66EC9"/>
    <w:rsid w:val="04AC435D"/>
    <w:rsid w:val="17D301B3"/>
    <w:rsid w:val="2F94305E"/>
    <w:rsid w:val="48174197"/>
    <w:rsid w:val="57AF0129"/>
    <w:rsid w:val="5E734892"/>
    <w:rsid w:val="60634492"/>
    <w:rsid w:val="61A562FE"/>
    <w:rsid w:val="640B633F"/>
    <w:rsid w:val="6A03176B"/>
    <w:rsid w:val="6FB95E7D"/>
    <w:rsid w:val="70E909E4"/>
    <w:rsid w:val="71932C49"/>
    <w:rsid w:val="763B089D"/>
    <w:rsid w:val="7D386D93"/>
    <w:rsid w:val="7F8A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AF34DC"/>
  <w15:docId w15:val="{A631AF22-D64A-45F6-B1C5-B7F2ACCE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1004</Words>
  <Characters>5726</Characters>
  <Application>Microsoft Office Word</Application>
  <DocSecurity>0</DocSecurity>
  <Lines>47</Lines>
  <Paragraphs>13</Paragraphs>
  <ScaleCrop>false</ScaleCrop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Lynn</cp:lastModifiedBy>
  <cp:revision>4</cp:revision>
  <dcterms:created xsi:type="dcterms:W3CDTF">2026-05-24T06:41:00Z</dcterms:created>
  <dcterms:modified xsi:type="dcterms:W3CDTF">2026-07-29T09:26:00Z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eyJoZGlkIjoiMjE2ZGM5NzdiMjU0N2JjOWEzNDQ2YjkyNzllOWFmOTUiLCJ1c2VySWQiOiIyOTQ4MzMxOTUifQ==</vt:lpwstr>
  </property>
  <property fmtid="{D5CDD505-2E9C-101B-9397-08002B2CF9AE}" pid="4" name="ICV">
    <vt:lpwstr>BAD5CEB1FE9F4050BA81A05F0B98A6B0_12</vt:lpwstr>
  </property>
</Properties>
</file>